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699" w:rsidRPr="00A40276" w:rsidRDefault="00906699" w:rsidP="00906699">
      <w:pPr>
        <w:jc w:val="center"/>
        <w:rPr>
          <w:b/>
          <w:sz w:val="18"/>
          <w:szCs w:val="18"/>
          <w:lang w:val="es-BO"/>
        </w:rPr>
      </w:pPr>
      <w:bookmarkStart w:id="0" w:name="_GoBack"/>
      <w:bookmarkEnd w:id="0"/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906699" w:rsidRPr="00A40276" w:rsidRDefault="00906699" w:rsidP="00906699">
      <w:pPr>
        <w:jc w:val="both"/>
        <w:rPr>
          <w:rFonts w:cs="Arial"/>
          <w:sz w:val="4"/>
          <w:szCs w:val="2"/>
          <w:lang w:val="es-BO"/>
        </w:rPr>
      </w:pPr>
    </w:p>
    <w:p w:rsidR="00906699" w:rsidRDefault="00906699" w:rsidP="00296E5B">
      <w:pPr>
        <w:pStyle w:val="Ttul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</w:rPr>
      </w:pPr>
      <w:bookmarkStart w:id="1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1"/>
    </w:p>
    <w:p w:rsidR="00906699" w:rsidRPr="00A40276" w:rsidRDefault="00906699" w:rsidP="00906699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:rsidR="00906699" w:rsidRPr="00765F1B" w:rsidRDefault="00906699" w:rsidP="00906699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906699" w:rsidRPr="00A40276" w:rsidTr="00090624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06699" w:rsidRPr="00A40276" w:rsidRDefault="00906699" w:rsidP="00296E5B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06699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906699" w:rsidRPr="00A40276" w:rsidTr="0009062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906699" w:rsidRPr="00A40276" w:rsidTr="00090624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FONDO NACIONAL DE DESARROLLO REGIONAL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FNDR-ANPE-012/25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236"/>
      </w:tblGrid>
      <w:tr w:rsidR="00906699" w:rsidRPr="00A40276" w:rsidTr="00090624">
        <w:trPr>
          <w:jc w:val="center"/>
        </w:trPr>
        <w:tc>
          <w:tcPr>
            <w:tcW w:w="198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323"/>
        <w:gridCol w:w="275"/>
        <w:gridCol w:w="277"/>
        <w:gridCol w:w="268"/>
        <w:gridCol w:w="273"/>
        <w:gridCol w:w="271"/>
        <w:gridCol w:w="275"/>
        <w:gridCol w:w="272"/>
        <w:gridCol w:w="272"/>
        <w:gridCol w:w="272"/>
        <w:gridCol w:w="269"/>
        <w:gridCol w:w="269"/>
        <w:gridCol w:w="268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358"/>
        <w:gridCol w:w="222"/>
      </w:tblGrid>
      <w:tr w:rsidR="00906699" w:rsidRPr="00A40276" w:rsidTr="00090624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trHeight w:val="435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tabs>
                <w:tab w:val="left" w:pos="1634"/>
              </w:tabs>
              <w:rPr>
                <w:rFonts w:ascii="Arial" w:hAnsi="Arial" w:cs="Arial"/>
                <w:lang w:val="es-BO"/>
              </w:rPr>
            </w:pPr>
            <w:bookmarkStart w:id="2" w:name="_Hlk193210217"/>
            <w:r>
              <w:rPr>
                <w:rFonts w:ascii="Arial" w:hAnsi="Arial" w:cs="Arial"/>
                <w:lang w:val="es-BO"/>
              </w:rPr>
              <w:t>SERVICIO RECURRENTE  DE LIMPIEZA  DE LAS OFICINAS DEL FNDR GESTION 2026</w:t>
            </w:r>
            <w:r w:rsidRPr="00A40276">
              <w:rPr>
                <w:rFonts w:ascii="Arial" w:hAnsi="Arial" w:cs="Arial"/>
                <w:lang w:val="es-BO"/>
              </w:rPr>
              <w:tab/>
            </w:r>
            <w:bookmarkEnd w:id="2"/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El Precio referencial es de 16</w:t>
            </w:r>
            <w:r w:rsidRPr="00D229BF">
              <w:rPr>
                <w:rFonts w:ascii="Arial" w:hAnsi="Arial" w:cs="Arial"/>
                <w:b/>
                <w:i/>
                <w:lang w:val="es-BO"/>
              </w:rPr>
              <w:t>.</w:t>
            </w:r>
            <w:r>
              <w:rPr>
                <w:rFonts w:ascii="Arial" w:hAnsi="Arial" w:cs="Arial"/>
                <w:b/>
                <w:i/>
                <w:lang w:val="es-BO"/>
              </w:rPr>
              <w:t>600</w:t>
            </w:r>
            <w:r w:rsidRPr="00D229BF">
              <w:rPr>
                <w:rFonts w:ascii="Arial" w:hAnsi="Arial" w:cs="Arial"/>
                <w:b/>
                <w:i/>
                <w:lang w:val="es-BO"/>
              </w:rPr>
              <w:t>.- (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Dieciséis mil seiscientos </w:t>
            </w:r>
            <w:r w:rsidRPr="00D229BF">
              <w:rPr>
                <w:rFonts w:ascii="Arial" w:hAnsi="Arial" w:cs="Arial"/>
                <w:b/>
                <w:i/>
                <w:lang w:val="es-BO"/>
              </w:rPr>
              <w:t xml:space="preserve">00/100 bolivianos) mensual por </w:t>
            </w:r>
            <w:r>
              <w:rPr>
                <w:rFonts w:ascii="Arial" w:hAnsi="Arial" w:cs="Arial"/>
                <w:b/>
                <w:i/>
                <w:lang w:val="es-BO"/>
              </w:rPr>
              <w:t>12</w:t>
            </w:r>
            <w:r w:rsidRPr="00D229BF">
              <w:rPr>
                <w:rFonts w:ascii="Arial" w:hAnsi="Arial" w:cs="Arial"/>
                <w:b/>
                <w:i/>
                <w:lang w:val="es-BO"/>
              </w:rPr>
              <w:t xml:space="preserve"> meses haciendo un total de Bs. 1</w:t>
            </w:r>
            <w:r>
              <w:rPr>
                <w:rFonts w:ascii="Arial" w:hAnsi="Arial" w:cs="Arial"/>
                <w:b/>
                <w:i/>
                <w:lang w:val="es-BO"/>
              </w:rPr>
              <w:t>99</w:t>
            </w:r>
            <w:r w:rsidRPr="00D229BF">
              <w:rPr>
                <w:rFonts w:ascii="Arial" w:hAnsi="Arial" w:cs="Arial"/>
                <w:b/>
                <w:i/>
                <w:lang w:val="es-BO"/>
              </w:rPr>
              <w:t>.</w:t>
            </w:r>
            <w:r>
              <w:rPr>
                <w:rFonts w:ascii="Arial" w:hAnsi="Arial" w:cs="Arial"/>
                <w:b/>
                <w:i/>
                <w:lang w:val="es-BO"/>
              </w:rPr>
              <w:t>2</w:t>
            </w:r>
            <w:r w:rsidRPr="00D229BF">
              <w:rPr>
                <w:rFonts w:ascii="Arial" w:hAnsi="Arial" w:cs="Arial"/>
                <w:b/>
                <w:i/>
                <w:lang w:val="es-BO"/>
              </w:rPr>
              <w:t>00.- (Ciento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 noventa y nueve mil doscientos</w:t>
            </w:r>
            <w:r w:rsidRPr="00D229BF">
              <w:rPr>
                <w:rFonts w:ascii="Arial" w:hAnsi="Arial" w:cs="Arial"/>
                <w:b/>
                <w:i/>
                <w:lang w:val="es-BO"/>
              </w:rPr>
              <w:t xml:space="preserve"> 00/100 bolivianos).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trHeight w:val="240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D229BF">
              <w:rPr>
                <w:rFonts w:ascii="Arial" w:hAnsi="Arial" w:cs="Arial"/>
                <w:b/>
                <w:i/>
                <w:lang w:val="es-BO"/>
              </w:rPr>
              <w:t xml:space="preserve">El plazo establecido para la prestación del 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r w:rsidRPr="00D229BF">
              <w:rPr>
                <w:rFonts w:ascii="Arial" w:hAnsi="Arial" w:cs="Arial"/>
                <w:b/>
                <w:i/>
                <w:lang w:val="es-BO"/>
              </w:rPr>
              <w:t>servicio de limpieza será a partir del 0</w:t>
            </w:r>
            <w:r>
              <w:rPr>
                <w:rFonts w:ascii="Arial" w:hAnsi="Arial" w:cs="Arial"/>
                <w:b/>
                <w:i/>
                <w:lang w:val="es-BO"/>
              </w:rPr>
              <w:t>2</w:t>
            </w:r>
            <w:r w:rsidRPr="00D229BF">
              <w:rPr>
                <w:rFonts w:ascii="Arial" w:hAnsi="Arial" w:cs="Arial"/>
                <w:b/>
                <w:i/>
                <w:lang w:val="es-BO"/>
              </w:rPr>
              <w:t xml:space="preserve"> de </w:t>
            </w:r>
            <w:r>
              <w:rPr>
                <w:rFonts w:ascii="Arial" w:hAnsi="Arial" w:cs="Arial"/>
                <w:b/>
                <w:i/>
                <w:lang w:val="es-BO"/>
              </w:rPr>
              <w:t>enero</w:t>
            </w:r>
            <w:r w:rsidRPr="00D229BF">
              <w:rPr>
                <w:rFonts w:ascii="Arial" w:hAnsi="Arial" w:cs="Arial"/>
                <w:b/>
                <w:i/>
                <w:lang w:val="es-BO"/>
              </w:rPr>
              <w:t xml:space="preserve"> hasta el 31 de diciembre de 202</w:t>
            </w:r>
            <w:r>
              <w:rPr>
                <w:rFonts w:ascii="Arial" w:hAnsi="Arial" w:cs="Arial"/>
                <w:b/>
                <w:i/>
                <w:lang w:val="es-BO"/>
              </w:rPr>
              <w:t>6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0" w:type="auto"/>
          </w:tcPr>
          <w:p w:rsidR="00906699" w:rsidRPr="00A40276" w:rsidRDefault="00906699" w:rsidP="00090624"/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D229BF">
              <w:rPr>
                <w:rFonts w:ascii="Arial" w:hAnsi="Arial" w:cs="Arial"/>
                <w:b/>
                <w:i/>
                <w:lang w:val="es-BO"/>
              </w:rPr>
              <w:t>Edificio del Fondo Nacional de Desarrollo Regional, ubicado en la calle Pedro Salazar, esquina Andrés Muñoz, Nro. 631, zona Sopocachi</w:t>
            </w:r>
            <w:r>
              <w:rPr>
                <w:rFonts w:ascii="Arial" w:hAnsi="Arial" w:cs="Arial"/>
                <w:b/>
                <w:i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trHeight w:val="70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7B3B85">
              <w:rPr>
                <w:rFonts w:ascii="Arial" w:hAnsi="Arial" w:cs="Arial"/>
                <w:b/>
                <w:i/>
                <w:lang w:val="es-BO"/>
              </w:rPr>
              <w:t>El proponente adjudicado deberá presentar garantía de cumplimiento de contrato del siete por ciento (7%) o tres puntos cinco por ciento (3.5%) del monto contratado, según corresponda; o en sustitución podrá solicitar una retención del siete por ciento (7%) o tres puntos cinco por ciento (3.5%) de cada pago, según corresponda, misma que serán devuelta una vez emitida el Informe Final de Conformidad del Servicio Prestado</w:t>
            </w:r>
            <w:r>
              <w:rPr>
                <w:rFonts w:ascii="Arial" w:hAnsi="Arial" w:cs="Arial"/>
                <w:b/>
                <w:i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gridAfter w:val="1"/>
          <w:trHeight w:val="47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06699" w:rsidRPr="00BF4F2F" w:rsidRDefault="00906699" w:rsidP="00090624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906699" w:rsidRPr="00BF4F2F" w:rsidRDefault="00906699" w:rsidP="0009062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06699" w:rsidRPr="00BF4F2F" w:rsidRDefault="00906699" w:rsidP="0009062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906699" w:rsidRPr="00A40276" w:rsidTr="00090624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</w:rPr>
            </w:pPr>
          </w:p>
        </w:tc>
      </w:tr>
      <w:tr w:rsidR="00906699" w:rsidRPr="00A40276" w:rsidTr="00090624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:rsidR="00906699" w:rsidRPr="009020C4" w:rsidRDefault="00906699" w:rsidP="00090624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906699" w:rsidRPr="009020C4" w:rsidRDefault="00906699" w:rsidP="00090624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906699" w:rsidRPr="009020C4" w:rsidRDefault="00906699" w:rsidP="00090624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906699" w:rsidRPr="009020C4" w:rsidRDefault="00906699" w:rsidP="00090624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5"/>
        <w:gridCol w:w="279"/>
        <w:gridCol w:w="284"/>
        <w:gridCol w:w="34"/>
        <w:gridCol w:w="251"/>
        <w:gridCol w:w="234"/>
        <w:gridCol w:w="49"/>
        <w:gridCol w:w="229"/>
        <w:gridCol w:w="56"/>
        <w:gridCol w:w="207"/>
        <w:gridCol w:w="37"/>
        <w:gridCol w:w="335"/>
        <w:gridCol w:w="22"/>
        <w:gridCol w:w="267"/>
        <w:gridCol w:w="11"/>
        <w:gridCol w:w="268"/>
        <w:gridCol w:w="11"/>
        <w:gridCol w:w="266"/>
        <w:gridCol w:w="14"/>
        <w:gridCol w:w="259"/>
        <w:gridCol w:w="30"/>
        <w:gridCol w:w="247"/>
        <w:gridCol w:w="37"/>
        <w:gridCol w:w="240"/>
        <w:gridCol w:w="49"/>
        <w:gridCol w:w="224"/>
        <w:gridCol w:w="65"/>
        <w:gridCol w:w="209"/>
        <w:gridCol w:w="76"/>
        <w:gridCol w:w="198"/>
        <w:gridCol w:w="87"/>
        <w:gridCol w:w="185"/>
        <w:gridCol w:w="100"/>
        <w:gridCol w:w="172"/>
        <w:gridCol w:w="110"/>
        <w:gridCol w:w="161"/>
        <w:gridCol w:w="121"/>
        <w:gridCol w:w="151"/>
        <w:gridCol w:w="130"/>
        <w:gridCol w:w="142"/>
        <w:gridCol w:w="140"/>
        <w:gridCol w:w="132"/>
        <w:gridCol w:w="150"/>
        <w:gridCol w:w="122"/>
        <w:gridCol w:w="112"/>
        <w:gridCol w:w="48"/>
        <w:gridCol w:w="111"/>
        <w:gridCol w:w="171"/>
        <w:gridCol w:w="101"/>
        <w:gridCol w:w="180"/>
        <w:gridCol w:w="92"/>
        <w:gridCol w:w="190"/>
        <w:gridCol w:w="82"/>
        <w:gridCol w:w="200"/>
        <w:gridCol w:w="72"/>
        <w:gridCol w:w="210"/>
        <w:gridCol w:w="61"/>
        <w:gridCol w:w="221"/>
        <w:gridCol w:w="50"/>
        <w:gridCol w:w="124"/>
        <w:gridCol w:w="107"/>
        <w:gridCol w:w="40"/>
        <w:gridCol w:w="241"/>
        <w:gridCol w:w="30"/>
        <w:gridCol w:w="251"/>
        <w:gridCol w:w="20"/>
        <w:gridCol w:w="261"/>
        <w:gridCol w:w="10"/>
        <w:gridCol w:w="271"/>
        <w:gridCol w:w="281"/>
        <w:gridCol w:w="305"/>
      </w:tblGrid>
      <w:tr w:rsidR="00906699" w:rsidRPr="00A40276" w:rsidTr="00090624">
        <w:trPr>
          <w:trHeight w:val="57"/>
          <w:jc w:val="center"/>
        </w:trPr>
        <w:tc>
          <w:tcPr>
            <w:tcW w:w="1324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06699" w:rsidRPr="00765F1B" w:rsidRDefault="00906699" w:rsidP="00090624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41" w:type="dxa"/>
            <w:gridSpan w:val="4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906699" w:rsidRPr="00765F1B" w:rsidRDefault="00906699" w:rsidP="0009062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1324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41" w:type="dxa"/>
            <w:gridSpan w:val="4"/>
            <w:vMerge w:val="restart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394" w:type="dxa"/>
            <w:gridSpan w:val="3"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89" w:type="dxa"/>
            <w:gridSpan w:val="38"/>
            <w:vMerge w:val="restart"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906699" w:rsidRPr="00A40276" w:rsidRDefault="00906699" w:rsidP="0009062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2" w:type="dxa"/>
            <w:gridSpan w:val="2"/>
            <w:vMerge w:val="restart"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98" w:type="dxa"/>
            <w:gridSpan w:val="15"/>
            <w:vMerge w:val="restart"/>
            <w:tcBorders>
              <w:left w:val="nil"/>
            </w:tcBorders>
            <w:vAlign w:val="center"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57" w:type="dxa"/>
            <w:gridSpan w:val="3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trHeight w:val="60"/>
          <w:jc w:val="center"/>
        </w:trPr>
        <w:tc>
          <w:tcPr>
            <w:tcW w:w="1324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41" w:type="dxa"/>
            <w:gridSpan w:val="4"/>
            <w:vMerge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89" w:type="dxa"/>
            <w:gridSpan w:val="38"/>
            <w:vMerge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vMerge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98" w:type="dxa"/>
            <w:gridSpan w:val="15"/>
            <w:vMerge/>
            <w:tcBorders>
              <w:left w:val="nil"/>
            </w:tcBorders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1324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41" w:type="dxa"/>
            <w:gridSpan w:val="4"/>
            <w:tcBorders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</w:t>
            </w:r>
          </w:p>
        </w:tc>
        <w:tc>
          <w:tcPr>
            <w:tcW w:w="518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RECURSOS ESPECIFICOS </w:t>
            </w:r>
          </w:p>
        </w:tc>
        <w:tc>
          <w:tcPr>
            <w:tcW w:w="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1324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41" w:type="dxa"/>
            <w:gridSpan w:val="4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1324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06699" w:rsidRPr="00A40276" w:rsidTr="00090624">
        <w:trPr>
          <w:trHeight w:val="631"/>
          <w:jc w:val="center"/>
        </w:trPr>
        <w:tc>
          <w:tcPr>
            <w:tcW w:w="242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906699" w:rsidRPr="00765F1B" w:rsidRDefault="00906699" w:rsidP="00090624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3" w:type="dxa"/>
            <w:gridSpan w:val="7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06699" w:rsidRPr="00765F1B" w:rsidRDefault="00906699" w:rsidP="00296E5B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906699" w:rsidRPr="00A40276" w:rsidRDefault="00906699" w:rsidP="00090624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06699" w:rsidRPr="00A40276" w:rsidTr="00090624">
        <w:trPr>
          <w:jc w:val="center"/>
        </w:trPr>
        <w:tc>
          <w:tcPr>
            <w:tcW w:w="1324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41" w:type="dxa"/>
            <w:gridSpan w:val="4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1324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4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C</w:t>
            </w:r>
            <w:r w:rsidRPr="00D229BF">
              <w:rPr>
                <w:rFonts w:ascii="Arial" w:hAnsi="Arial" w:cs="Arial"/>
                <w:b/>
                <w:i/>
                <w:lang w:val="es-BO"/>
              </w:rPr>
              <w:t>alle Pedro Salazar, esquina Andrés Muñoz, Nro. 631, zona Sopocachi</w:t>
            </w:r>
          </w:p>
        </w:tc>
        <w:tc>
          <w:tcPr>
            <w:tcW w:w="1913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8:30 a 16:30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1324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41" w:type="dxa"/>
            <w:gridSpan w:val="4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1324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41" w:type="dxa"/>
            <w:gridSpan w:val="4"/>
          </w:tcPr>
          <w:p w:rsidR="00906699" w:rsidRPr="00A40276" w:rsidRDefault="00906699" w:rsidP="0009062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94" w:type="dxa"/>
            <w:gridSpan w:val="3"/>
          </w:tcPr>
          <w:p w:rsidR="00906699" w:rsidRPr="00A40276" w:rsidRDefault="00906699" w:rsidP="0009062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</w:tcPr>
          <w:p w:rsidR="00906699" w:rsidRPr="00A40276" w:rsidRDefault="00906699" w:rsidP="0009062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8" w:type="dxa"/>
          </w:tcPr>
          <w:p w:rsidR="00906699" w:rsidRPr="00A40276" w:rsidRDefault="00906699" w:rsidP="0009062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07" w:type="dxa"/>
            <w:gridSpan w:val="22"/>
            <w:tcBorders>
              <w:bottom w:val="single" w:sz="4" w:space="0" w:color="auto"/>
            </w:tcBorders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2" w:type="dxa"/>
            <w:gridSpan w:val="2"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59" w:type="dxa"/>
            <w:gridSpan w:val="11"/>
            <w:tcBorders>
              <w:bottom w:val="single" w:sz="4" w:space="0" w:color="auto"/>
            </w:tcBorders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2" w:type="dxa"/>
            <w:gridSpan w:val="2"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26" w:type="dxa"/>
            <w:gridSpan w:val="13"/>
            <w:tcBorders>
              <w:bottom w:val="single" w:sz="4" w:space="0" w:color="auto"/>
            </w:tcBorders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57" w:type="dxa"/>
            <w:gridSpan w:val="3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2805" w:type="dxa"/>
            <w:gridSpan w:val="17"/>
            <w:tcBorders>
              <w:left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Rubén Apaza Esquivel</w:t>
            </w:r>
          </w:p>
        </w:tc>
        <w:tc>
          <w:tcPr>
            <w:tcW w:w="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 w:rsidRPr="00627879">
              <w:rPr>
                <w:rFonts w:ascii="Arial" w:hAnsi="Arial" w:cs="Arial"/>
                <w:sz w:val="14"/>
                <w:szCs w:val="14"/>
                <w:lang w:val="es-BO"/>
              </w:rPr>
              <w:t>Asignación de Funciones Depto. Administración</w:t>
            </w:r>
          </w:p>
        </w:tc>
        <w:tc>
          <w:tcPr>
            <w:tcW w:w="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Gerencia de Gestión y Sistemas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1324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41" w:type="dxa"/>
            <w:gridSpan w:val="4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94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839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2417575 int 355</w:t>
            </w:r>
          </w:p>
        </w:tc>
        <w:tc>
          <w:tcPr>
            <w:tcW w:w="394" w:type="dxa"/>
            <w:gridSpan w:val="3"/>
            <w:tcBorders>
              <w:left w:val="single" w:sz="4" w:space="0" w:color="auto"/>
            </w:tcBorders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6" w:type="dxa"/>
            <w:gridSpan w:val="3"/>
            <w:tcBorders>
              <w:left w:val="nil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3" w:type="dxa"/>
            <w:gridSpan w:val="12"/>
            <w:tcBorders>
              <w:righ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5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rapaza</w:t>
            </w:r>
            <w:r w:rsidRPr="003D306F">
              <w:rPr>
                <w:rFonts w:ascii="Arial" w:hAnsi="Arial" w:cs="Arial"/>
                <w:lang w:val="es-BO"/>
              </w:rPr>
              <w:t>@fndr.gob.bo</w:t>
            </w:r>
          </w:p>
        </w:tc>
        <w:tc>
          <w:tcPr>
            <w:tcW w:w="271" w:type="dxa"/>
            <w:gridSpan w:val="2"/>
            <w:tcBorders>
              <w:left w:val="single" w:sz="4" w:space="0" w:color="auto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lang w:val="es-BO"/>
              </w:rPr>
            </w:pPr>
          </w:p>
        </w:tc>
      </w:tr>
      <w:tr w:rsidR="00906699" w:rsidRPr="00A40276" w:rsidTr="00090624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906699" w:rsidRDefault="00906699" w:rsidP="00906699">
            <w:pPr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06699" w:rsidRPr="00A40276" w:rsidRDefault="00906699" w:rsidP="0009062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tcBorders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906699" w:rsidRPr="00A40276" w:rsidRDefault="00906699" w:rsidP="0009062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906699" w:rsidRPr="00906699" w:rsidRDefault="00906699" w:rsidP="00906699">
      <w:pPr>
        <w:pStyle w:val="Ttulo"/>
        <w:spacing w:before="0" w:after="0"/>
        <w:ind w:left="432"/>
        <w:jc w:val="both"/>
      </w:pPr>
      <w:bookmarkStart w:id="3" w:name="_Toc94724713"/>
    </w:p>
    <w:p w:rsidR="00906699" w:rsidRPr="00906699" w:rsidRDefault="00906699" w:rsidP="00906699">
      <w:pPr>
        <w:pStyle w:val="Ttulo"/>
        <w:spacing w:before="0" w:after="0"/>
        <w:ind w:left="432"/>
        <w:jc w:val="both"/>
      </w:pPr>
    </w:p>
    <w:p w:rsidR="00906699" w:rsidRDefault="00906699" w:rsidP="00906699">
      <w:pPr>
        <w:pStyle w:val="Ttulo"/>
        <w:spacing w:before="0" w:after="0"/>
        <w:jc w:val="both"/>
      </w:pPr>
    </w:p>
    <w:p w:rsidR="00906699" w:rsidRPr="00906699" w:rsidRDefault="00906699" w:rsidP="00906699">
      <w:pPr>
        <w:pStyle w:val="Ttulo"/>
        <w:spacing w:before="0" w:after="0"/>
        <w:jc w:val="both"/>
      </w:pPr>
    </w:p>
    <w:p w:rsidR="00906699" w:rsidRDefault="00906699" w:rsidP="00296E5B">
      <w:pPr>
        <w:pStyle w:val="Ttulo"/>
        <w:numPr>
          <w:ilvl w:val="0"/>
          <w:numId w:val="6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3"/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906699" w:rsidRPr="00A40276" w:rsidTr="00090624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906699" w:rsidRPr="00B647AB" w:rsidRDefault="00906699" w:rsidP="00090624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647AB">
              <w:rPr>
                <w:rFonts w:ascii="Arial" w:hAnsi="Arial" w:cs="Arial"/>
                <w:sz w:val="14"/>
                <w:szCs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906699" w:rsidRPr="00B647AB" w:rsidRDefault="00906699" w:rsidP="00296E5B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647AB">
              <w:rPr>
                <w:rFonts w:ascii="Arial" w:hAnsi="Arial" w:cs="Arial"/>
                <w:sz w:val="14"/>
                <w:szCs w:val="14"/>
                <w:lang w:val="es-BO"/>
              </w:rPr>
              <w:t>Presentación de propuestas:</w:t>
            </w:r>
          </w:p>
          <w:p w:rsidR="00906699" w:rsidRPr="00B647AB" w:rsidRDefault="00906699" w:rsidP="00296E5B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647AB">
              <w:rPr>
                <w:rFonts w:ascii="Arial" w:hAnsi="Arial" w:cs="Arial"/>
                <w:sz w:val="14"/>
                <w:szCs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906699" w:rsidRPr="00B647AB" w:rsidRDefault="00906699" w:rsidP="00296E5B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647AB">
              <w:rPr>
                <w:rFonts w:ascii="Arial" w:hAnsi="Arial" w:cs="Arial"/>
                <w:sz w:val="14"/>
                <w:szCs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906699" w:rsidRPr="00B647AB" w:rsidRDefault="00906699" w:rsidP="00090624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647AB">
              <w:rPr>
                <w:rFonts w:ascii="Arial" w:hAnsi="Arial" w:cs="Arial"/>
                <w:sz w:val="14"/>
                <w:szCs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906699" w:rsidRPr="00B647AB" w:rsidRDefault="00906699" w:rsidP="00296E5B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647AB">
              <w:rPr>
                <w:rFonts w:ascii="Arial" w:hAnsi="Arial" w:cs="Arial"/>
                <w:sz w:val="14"/>
                <w:szCs w:val="14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906699" w:rsidRPr="00B647AB" w:rsidRDefault="00906699" w:rsidP="00296E5B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647AB">
              <w:rPr>
                <w:rFonts w:ascii="Arial" w:hAnsi="Arial" w:cs="Arial"/>
                <w:sz w:val="14"/>
                <w:szCs w:val="14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906699" w:rsidRPr="00A40276" w:rsidRDefault="00906699" w:rsidP="00090624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B647AB">
              <w:rPr>
                <w:rFonts w:ascii="Arial" w:hAnsi="Arial" w:cs="Arial"/>
                <w:b/>
                <w:sz w:val="14"/>
                <w:szCs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906699" w:rsidRDefault="00906699" w:rsidP="00906699">
      <w:pPr>
        <w:rPr>
          <w:lang w:val="es-BO"/>
        </w:rPr>
      </w:pPr>
    </w:p>
    <w:p w:rsidR="00906699" w:rsidRDefault="00906699" w:rsidP="00906699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 xml:space="preserve">El proceso de contratación de servicios generales, se sujetará al </w:t>
      </w:r>
      <w:r>
        <w:rPr>
          <w:rFonts w:cs="Arial"/>
          <w:sz w:val="18"/>
          <w:szCs w:val="18"/>
        </w:rPr>
        <w:t>siguiente Cronograma de Plazos:</w:t>
      </w:r>
    </w:p>
    <w:p w:rsidR="00906699" w:rsidRPr="00B647AB" w:rsidRDefault="00906699" w:rsidP="00906699">
      <w:pPr>
        <w:jc w:val="both"/>
        <w:rPr>
          <w:rFonts w:cs="Arial"/>
          <w:b/>
          <w:i/>
          <w:sz w:val="14"/>
          <w:szCs w:val="14"/>
        </w:rPr>
      </w:pPr>
      <w:r w:rsidRPr="00B647AB">
        <w:rPr>
          <w:rFonts w:cs="Arial"/>
          <w:b/>
          <w:i/>
          <w:sz w:val="14"/>
          <w:szCs w:val="14"/>
        </w:rPr>
        <w:t>(Utilizar el siguiente cronograma de plazos en caso de que el Método de Selección y Adjudicación sea Precio Evaluado Más Bajo y Calidad Propuesta Técnica y Costo, de lo contrario suprimir el mismo)</w:t>
      </w:r>
    </w:p>
    <w:p w:rsidR="00906699" w:rsidRPr="000C6821" w:rsidRDefault="00906699" w:rsidP="00906699">
      <w:pPr>
        <w:rPr>
          <w:rFonts w:cs="Arial"/>
          <w:sz w:val="18"/>
          <w:szCs w:val="18"/>
        </w:rPr>
      </w:pPr>
    </w:p>
    <w:tbl>
      <w:tblPr>
        <w:tblW w:w="51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1"/>
        <w:gridCol w:w="2599"/>
        <w:gridCol w:w="130"/>
        <w:gridCol w:w="123"/>
        <w:gridCol w:w="353"/>
        <w:gridCol w:w="123"/>
        <w:gridCol w:w="401"/>
        <w:gridCol w:w="123"/>
        <w:gridCol w:w="482"/>
        <w:gridCol w:w="125"/>
        <w:gridCol w:w="123"/>
        <w:gridCol w:w="344"/>
        <w:gridCol w:w="123"/>
        <w:gridCol w:w="304"/>
        <w:gridCol w:w="123"/>
        <w:gridCol w:w="123"/>
        <w:gridCol w:w="2543"/>
        <w:gridCol w:w="129"/>
      </w:tblGrid>
      <w:tr w:rsidR="00906699" w:rsidRPr="000C6821" w:rsidTr="00090624">
        <w:trPr>
          <w:trHeight w:val="287"/>
        </w:trPr>
        <w:tc>
          <w:tcPr>
            <w:tcW w:w="4999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bookmarkStart w:id="4" w:name="_Hlk193189333"/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906699" w:rsidRPr="000C6821" w:rsidTr="00090624">
        <w:trPr>
          <w:trHeight w:val="287"/>
        </w:trPr>
        <w:tc>
          <w:tcPr>
            <w:tcW w:w="194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54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1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54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906699" w:rsidRPr="000C6821" w:rsidTr="00090624">
        <w:trPr>
          <w:trHeight w:val="131"/>
        </w:trPr>
        <w:tc>
          <w:tcPr>
            <w:tcW w:w="43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06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99" w:rsidRPr="00C91A2D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1A2D">
              <w:rPr>
                <w:rFonts w:ascii="Arial" w:hAnsi="Arial" w:cs="Arial"/>
                <w:sz w:val="14"/>
                <w:szCs w:val="14"/>
              </w:rPr>
              <w:t>Calle Pedro Salazar, esquina Andrés Muñoz, Nro. 631, zona Sopocachi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45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91A2D">
              <w:rPr>
                <w:rFonts w:ascii="Arial" w:hAnsi="Arial" w:cs="Arial"/>
                <w:sz w:val="14"/>
                <w:szCs w:val="14"/>
              </w:rPr>
              <w:t>Calle Pedro Salazar, esquina Andrés Muñoz, Nro. 631, zona Sopocachi</w:t>
            </w:r>
            <w:r>
              <w:rPr>
                <w:rFonts w:ascii="Arial" w:hAnsi="Arial" w:cs="Arial"/>
                <w:sz w:val="14"/>
                <w:szCs w:val="14"/>
              </w:rPr>
              <w:t xml:space="preserve"> (PB)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45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30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2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45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 xml:space="preserve">Plataforma RUPE. </w:t>
            </w:r>
            <w:r>
              <w:rPr>
                <w:rFonts w:ascii="Arial" w:hAnsi="Arial" w:cs="Arial"/>
                <w:b/>
                <w:i/>
                <w:sz w:val="12"/>
              </w:rPr>
              <w:t>(Propuestas Electrónicas)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45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1D34EC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1D34EC">
              <w:rPr>
                <w:rFonts w:ascii="Arial" w:hAnsi="Arial" w:cs="Arial"/>
                <w:sz w:val="14"/>
                <w:szCs w:val="14"/>
                <w:lang w:val="es-BO"/>
              </w:rPr>
              <w:t>Lugar: C. Pedro Salazar esq. Andrés Muñoz N° 631</w:t>
            </w:r>
          </w:p>
          <w:p w:rsidR="00906699" w:rsidRPr="001D34EC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s-BO"/>
              </w:rPr>
            </w:pPr>
            <w:r w:rsidRPr="001D34EC">
              <w:rPr>
                <w:rFonts w:ascii="Arial" w:hAnsi="Arial" w:cs="Arial"/>
                <w:sz w:val="14"/>
                <w:szCs w:val="14"/>
                <w:lang w:val="es-BO"/>
              </w:rPr>
              <w:t>Información para unirse a Google Meet</w:t>
            </w:r>
          </w:p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686BEE">
              <w:rPr>
                <w:rFonts w:ascii="Arial" w:hAnsi="Arial" w:cs="Arial"/>
                <w:sz w:val="14"/>
                <w:szCs w:val="14"/>
                <w:lang w:val="es-BO"/>
              </w:rPr>
              <w:t>Enlace a la videollamada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:</w:t>
            </w:r>
            <w:r w:rsidRPr="00B7663F">
              <w:rPr>
                <w:rFonts w:ascii="Arial" w:hAnsi="Arial" w:cs="Arial"/>
                <w:sz w:val="14"/>
                <w:szCs w:val="14"/>
                <w:lang w:val="es-BO"/>
              </w:rPr>
              <w:t xml:space="preserve"> </w:t>
            </w:r>
            <w:hyperlink r:id="rId5" w:tgtFrame="_blank" w:history="1">
              <w:r w:rsidRPr="00B647AB">
                <w:rPr>
                  <w:rStyle w:val="Hipervnculo"/>
                  <w:rFonts w:ascii="Lucida Console" w:hAnsi="Lucida Console"/>
                  <w:color w:val="336699"/>
                  <w:sz w:val="14"/>
                  <w:szCs w:val="14"/>
                  <w:shd w:val="clear" w:color="auto" w:fill="F8F8F8"/>
                </w:rPr>
                <w:t>https://meet.google.com/hxu-ongs-uwx</w:t>
              </w:r>
            </w:hyperlink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30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53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699" w:rsidRPr="000C6821" w:rsidTr="00090624">
        <w:trPr>
          <w:trHeight w:val="74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45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74"/>
        </w:trPr>
        <w:tc>
          <w:tcPr>
            <w:tcW w:w="4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9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45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45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0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192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0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6699" w:rsidRPr="000C6821" w:rsidTr="00090624">
        <w:trPr>
          <w:trHeight w:val="45"/>
        </w:trPr>
        <w:tc>
          <w:tcPr>
            <w:tcW w:w="43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06699" w:rsidRPr="000C6821" w:rsidRDefault="00906699" w:rsidP="0009062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06699" w:rsidRPr="000C6821" w:rsidRDefault="00906699" w:rsidP="0009062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bookmarkEnd w:id="4"/>
    <w:p w:rsidR="00906699" w:rsidRDefault="00906699" w:rsidP="00906699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8B62B8" w:rsidRPr="00906699" w:rsidRDefault="00906699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sectPr w:rsidR="008B62B8" w:rsidRPr="00906699" w:rsidSect="00296E5B">
      <w:pgSz w:w="12240" w:h="15840" w:code="1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8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99"/>
    <w:rsid w:val="00296E5B"/>
    <w:rsid w:val="008B62B8"/>
    <w:rsid w:val="0090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E601"/>
  <w15:chartTrackingRefBased/>
  <w15:docId w15:val="{1A2AE3A7-47B8-434F-ABC5-A71247BC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699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06699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906699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906699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906699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906699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906699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906699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906699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906699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6699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06699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06699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06699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06699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0669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906699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90669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906699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906699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906699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906699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906699"/>
    <w:rPr>
      <w:color w:val="0000FF"/>
      <w:u w:val="single"/>
    </w:rPr>
  </w:style>
  <w:style w:type="paragraph" w:styleId="Encabezado">
    <w:name w:val="header"/>
    <w:basedOn w:val="Normal"/>
    <w:link w:val="EncabezadoCar"/>
    <w:rsid w:val="009066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0669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066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69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906699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906699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Iz - Párrafo de lista,Sivsa Parrafo,Titulo de Fígura,TITULO A,Sub Apartado Rojo Obscuro,BULLET Liste,List Paragraph 1,List-Bulleted,Bullets,titulo 5,centrado 10,Fase,GRÁFICO,Titulo,TITULO,References,123 List Paragraph,List Paragraph"/>
    <w:basedOn w:val="Normal"/>
    <w:link w:val="PrrafodelistaCar"/>
    <w:uiPriority w:val="34"/>
    <w:qFormat/>
    <w:rsid w:val="00906699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90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906699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906699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06699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906699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906699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906699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90669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06699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906699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90669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uiPriority w:val="99"/>
    <w:qFormat/>
    <w:rsid w:val="0090669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uiPriority w:val="99"/>
    <w:rsid w:val="0090669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99"/>
    <w:rsid w:val="00906699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06699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906699"/>
    <w:pPr>
      <w:spacing w:after="100"/>
    </w:pPr>
  </w:style>
  <w:style w:type="character" w:customStyle="1" w:styleId="PrrafodelistaCar">
    <w:name w:val="Párrafo de lista Car"/>
    <w:aliases w:val="본문1 Car,Iz - Párrafo de lista Car,Sivsa Parrafo Car,Titulo de Fígura Car,TITULO A Car,Sub Apartado Rojo Obscuro Car,BULLET Liste Car,List Paragraph 1 Car,List-Bulleted Car,Bullets Car,titulo 5 Car,centrado 10 Car,Fase Car,Titulo Car"/>
    <w:link w:val="Prrafodelista"/>
    <w:uiPriority w:val="34"/>
    <w:qFormat/>
    <w:locked/>
    <w:rsid w:val="0090669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906699"/>
    <w:pPr>
      <w:spacing w:after="100"/>
      <w:ind w:left="160"/>
    </w:pPr>
  </w:style>
  <w:style w:type="paragraph" w:customStyle="1" w:styleId="Estilo">
    <w:name w:val="Estilo"/>
    <w:rsid w:val="00906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90669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06699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0669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906699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906699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0669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06699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90669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906699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906699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906699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906699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90669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906699"/>
    <w:rPr>
      <w:vertAlign w:val="superscript"/>
    </w:rPr>
  </w:style>
  <w:style w:type="paragraph" w:customStyle="1" w:styleId="BodyText21">
    <w:name w:val="Body Text 21"/>
    <w:basedOn w:val="Normal"/>
    <w:rsid w:val="00906699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906699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906699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906699"/>
  </w:style>
  <w:style w:type="paragraph" w:customStyle="1" w:styleId="Document1">
    <w:name w:val="Document 1"/>
    <w:rsid w:val="0090669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906699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0669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906699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06699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90669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906699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906699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906699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906699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906699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906699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906699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906699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906699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90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06699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066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90669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06699"/>
    <w:rPr>
      <w:color w:val="808080"/>
    </w:rPr>
  </w:style>
  <w:style w:type="character" w:styleId="Textoennegrita">
    <w:name w:val="Strong"/>
    <w:basedOn w:val="Fuentedeprrafopredeter"/>
    <w:qFormat/>
    <w:rsid w:val="00906699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9066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066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06699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906699"/>
    <w:pPr>
      <w:spacing w:after="100"/>
      <w:ind w:left="320"/>
    </w:pPr>
  </w:style>
  <w:style w:type="paragraph" w:customStyle="1" w:styleId="Ttulo10">
    <w:name w:val="Título1"/>
    <w:basedOn w:val="Normal"/>
    <w:link w:val="TtuloCar"/>
    <w:uiPriority w:val="99"/>
    <w:qFormat/>
    <w:rsid w:val="009066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066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066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906699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hxu-ongs-uw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Milizen Rosario Butron Fuentes</dc:creator>
  <cp:keywords/>
  <dc:description/>
  <cp:lastModifiedBy>Milizen Rosario Butron Fuentes</cp:lastModifiedBy>
  <cp:revision>2</cp:revision>
  <cp:lastPrinted>2025-12-13T00:55:00Z</cp:lastPrinted>
  <dcterms:created xsi:type="dcterms:W3CDTF">2025-12-13T00:51:00Z</dcterms:created>
  <dcterms:modified xsi:type="dcterms:W3CDTF">2025-12-13T00:55:00Z</dcterms:modified>
</cp:coreProperties>
</file>